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F98" w:rsidRPr="0088755C" w:rsidRDefault="0088755C" w:rsidP="0088755C">
      <w:pPr>
        <w:rPr>
          <w:rFonts w:cstheme="minorHAnsi"/>
          <w:b/>
        </w:rPr>
      </w:pPr>
      <w:r w:rsidRPr="0088755C">
        <w:rPr>
          <w:rFonts w:cstheme="minorHAnsi"/>
          <w:b/>
        </w:rPr>
        <w:t>Сведения о рыночной среде.</w:t>
      </w:r>
    </w:p>
    <w:p w:rsidR="0088755C" w:rsidRDefault="0088755C" w:rsidP="0088755C">
      <w:pPr>
        <w:rPr>
          <w:rFonts w:cstheme="minorHAnsi"/>
          <w:b/>
        </w:rPr>
      </w:pPr>
      <w:r w:rsidRPr="0088755C">
        <w:rPr>
          <w:rFonts w:cstheme="minorHAnsi"/>
          <w:b/>
        </w:rPr>
        <w:t>Обзор макроэкономических факторов, влияющих на экономику отрасли</w:t>
      </w:r>
    </w:p>
    <w:p w:rsidR="00927877" w:rsidRPr="00927877" w:rsidRDefault="00927877" w:rsidP="006F2780">
      <w:pPr>
        <w:widowControl w:val="0"/>
        <w:autoSpaceDE w:val="0"/>
        <w:autoSpaceDN w:val="0"/>
        <w:adjustRightInd w:val="0"/>
        <w:spacing w:before="20" w:after="40" w:line="240" w:lineRule="auto"/>
        <w:ind w:firstLine="709"/>
        <w:jc w:val="both"/>
        <w:rPr>
          <w:rFonts w:eastAsiaTheme="minorEastAsia" w:cstheme="minorHAnsi"/>
          <w:bCs/>
          <w:iCs/>
          <w:lang w:eastAsia="ru-RU"/>
        </w:rPr>
      </w:pPr>
      <w:r w:rsidRPr="00927877">
        <w:rPr>
          <w:rFonts w:eastAsiaTheme="minorEastAsia" w:cstheme="minorHAnsi"/>
          <w:bCs/>
          <w:iCs/>
          <w:lang w:eastAsia="ru-RU"/>
        </w:rPr>
        <w:t>АО «</w:t>
      </w:r>
      <w:r w:rsidR="00B967D2">
        <w:rPr>
          <w:rFonts w:eastAsiaTheme="minorEastAsia" w:cstheme="minorHAnsi"/>
          <w:bCs/>
          <w:iCs/>
          <w:lang w:eastAsia="ru-RU"/>
        </w:rPr>
        <w:t>ВМЭС</w:t>
      </w:r>
      <w:r w:rsidRPr="00927877">
        <w:rPr>
          <w:rFonts w:eastAsiaTheme="minorEastAsia" w:cstheme="minorHAnsi"/>
          <w:bCs/>
          <w:iCs/>
          <w:lang w:eastAsia="ru-RU"/>
        </w:rPr>
        <w:t xml:space="preserve">» </w:t>
      </w:r>
      <w:r w:rsidR="00B967D2" w:rsidRPr="00B967D2">
        <w:rPr>
          <w:rFonts w:eastAsiaTheme="minorEastAsia" w:cstheme="minorHAnsi"/>
          <w:bCs/>
          <w:iCs/>
          <w:lang w:eastAsia="ru-RU"/>
        </w:rPr>
        <w:t>осуществляет свою деятельность на территории города-героя Волгограда.</w:t>
      </w:r>
    </w:p>
    <w:p w:rsidR="00927877" w:rsidRPr="00927877" w:rsidRDefault="00927877" w:rsidP="006F2780">
      <w:pPr>
        <w:widowControl w:val="0"/>
        <w:autoSpaceDE w:val="0"/>
        <w:autoSpaceDN w:val="0"/>
        <w:adjustRightInd w:val="0"/>
        <w:spacing w:before="60" w:after="0" w:line="240" w:lineRule="auto"/>
        <w:ind w:firstLine="709"/>
        <w:jc w:val="both"/>
        <w:rPr>
          <w:rFonts w:eastAsiaTheme="minorEastAsia" w:cstheme="minorHAnsi"/>
          <w:bCs/>
          <w:iCs/>
          <w:lang w:eastAsia="ru-RU"/>
        </w:rPr>
      </w:pPr>
      <w:r w:rsidRPr="00927877">
        <w:rPr>
          <w:rFonts w:eastAsiaTheme="minorEastAsia" w:cstheme="minorHAnsi"/>
          <w:bCs/>
          <w:iCs/>
          <w:lang w:eastAsia="ru-RU"/>
        </w:rPr>
        <w:t xml:space="preserve">Основным видом деятельности </w:t>
      </w:r>
      <w:r w:rsidR="004C5282">
        <w:rPr>
          <w:rFonts w:eastAsiaTheme="minorEastAsia" w:cstheme="minorHAnsi"/>
          <w:bCs/>
          <w:iCs/>
          <w:lang w:eastAsia="ru-RU"/>
        </w:rPr>
        <w:t>Общества</w:t>
      </w:r>
      <w:r w:rsidRPr="00927877">
        <w:rPr>
          <w:rFonts w:eastAsiaTheme="minorEastAsia" w:cstheme="minorHAnsi"/>
          <w:bCs/>
          <w:iCs/>
          <w:lang w:eastAsia="ru-RU"/>
        </w:rPr>
        <w:t xml:space="preserve"> является оказание услуг по передаче электрической энергии и оказание услуг по технологическому присоединению энергопринимающих устройств (энергетических установок) юридических и физических лиц к электрическим сетям.</w:t>
      </w:r>
    </w:p>
    <w:p w:rsidR="00927877" w:rsidRPr="00927877" w:rsidRDefault="00927877" w:rsidP="006F2780">
      <w:pPr>
        <w:tabs>
          <w:tab w:val="left" w:pos="720"/>
        </w:tabs>
        <w:autoSpaceDE w:val="0"/>
        <w:autoSpaceDN w:val="0"/>
        <w:adjustRightInd w:val="0"/>
        <w:spacing w:before="60" w:after="0" w:line="240" w:lineRule="auto"/>
        <w:ind w:firstLine="709"/>
        <w:jc w:val="both"/>
        <w:rPr>
          <w:rFonts w:eastAsiaTheme="minorEastAsia" w:cstheme="minorHAnsi"/>
          <w:bCs/>
          <w:iCs/>
          <w:lang w:eastAsia="ru-RU"/>
        </w:rPr>
      </w:pPr>
      <w:r w:rsidRPr="006F2780">
        <w:rPr>
          <w:rFonts w:eastAsiaTheme="minorEastAsia" w:cstheme="minorHAnsi"/>
          <w:bCs/>
          <w:iCs/>
          <w:lang w:eastAsia="ru-RU"/>
        </w:rPr>
        <w:t xml:space="preserve">Свою основную деятельность </w:t>
      </w:r>
      <w:r w:rsidR="0094232C" w:rsidRPr="006F2780">
        <w:rPr>
          <w:rFonts w:eastAsiaTheme="minorEastAsia" w:cstheme="minorHAnsi"/>
          <w:bCs/>
          <w:iCs/>
          <w:lang w:eastAsia="ru-RU"/>
        </w:rPr>
        <w:t>Общество</w:t>
      </w:r>
      <w:r w:rsidRPr="006F2780">
        <w:rPr>
          <w:rFonts w:eastAsiaTheme="minorEastAsia" w:cstheme="minorHAnsi"/>
          <w:bCs/>
          <w:iCs/>
          <w:lang w:eastAsia="ru-RU"/>
        </w:rPr>
        <w:t xml:space="preserve"> осуществляет в условиях естественной монополии, регулируемой государством в части установления тарифов на оказание услуг по передаче электроэнергии и услуг по технологическому присоединению потребителей к электрическим сетям. С учетом растущего спроса на электроэнергию </w:t>
      </w:r>
      <w:r w:rsidR="0094232C" w:rsidRPr="006F2780">
        <w:rPr>
          <w:rFonts w:eastAsiaTheme="minorEastAsia" w:cstheme="minorHAnsi"/>
          <w:bCs/>
          <w:iCs/>
          <w:lang w:eastAsia="ru-RU"/>
        </w:rPr>
        <w:t>АО «</w:t>
      </w:r>
      <w:r w:rsidR="00B967D2" w:rsidRPr="006F2780">
        <w:rPr>
          <w:rFonts w:eastAsiaTheme="minorEastAsia" w:cstheme="minorHAnsi"/>
          <w:bCs/>
          <w:iCs/>
          <w:lang w:eastAsia="ru-RU"/>
        </w:rPr>
        <w:t>ВМЭС</w:t>
      </w:r>
      <w:r w:rsidR="0094232C" w:rsidRPr="006F2780">
        <w:rPr>
          <w:rFonts w:eastAsiaTheme="minorEastAsia" w:cstheme="minorHAnsi"/>
          <w:bCs/>
          <w:iCs/>
          <w:lang w:eastAsia="ru-RU"/>
        </w:rPr>
        <w:t>»</w:t>
      </w:r>
      <w:r w:rsidRPr="006F2780">
        <w:rPr>
          <w:rFonts w:eastAsiaTheme="minorEastAsia" w:cstheme="minorHAnsi"/>
          <w:bCs/>
          <w:iCs/>
          <w:lang w:eastAsia="ru-RU"/>
        </w:rPr>
        <w:t xml:space="preserve"> уделяет значительное внимание развитию, реконструкции и увеличению пропускной способности электросетевых объектов, рассчитывая в будущем на увеличение объема оказания услуг по передаче электроэнергии.</w:t>
      </w:r>
    </w:p>
    <w:p w:rsidR="00927877" w:rsidRPr="00454661" w:rsidRDefault="0094232C" w:rsidP="006F2780">
      <w:pPr>
        <w:tabs>
          <w:tab w:val="left" w:pos="720"/>
        </w:tabs>
        <w:autoSpaceDE w:val="0"/>
        <w:autoSpaceDN w:val="0"/>
        <w:adjustRightInd w:val="0"/>
        <w:spacing w:before="60" w:after="0" w:line="240" w:lineRule="auto"/>
        <w:ind w:firstLine="709"/>
        <w:jc w:val="both"/>
        <w:rPr>
          <w:rFonts w:eastAsiaTheme="minorEastAsia" w:cstheme="minorHAnsi"/>
          <w:bCs/>
          <w:iCs/>
          <w:lang w:eastAsia="ru-RU"/>
        </w:rPr>
      </w:pPr>
      <w:r w:rsidRPr="00454661">
        <w:rPr>
          <w:rFonts w:eastAsiaTheme="minorEastAsia" w:cstheme="minorHAnsi"/>
          <w:bCs/>
          <w:iCs/>
          <w:lang w:eastAsia="ru-RU"/>
        </w:rPr>
        <w:t>Основные ф</w:t>
      </w:r>
      <w:r w:rsidR="00927877" w:rsidRPr="00454661">
        <w:rPr>
          <w:rFonts w:eastAsiaTheme="minorEastAsia" w:cstheme="minorHAnsi"/>
          <w:bCs/>
          <w:iCs/>
          <w:lang w:eastAsia="ru-RU"/>
        </w:rPr>
        <w:t xml:space="preserve">акторы, </w:t>
      </w:r>
      <w:r w:rsidRPr="00454661">
        <w:rPr>
          <w:rFonts w:eastAsiaTheme="minorEastAsia" w:cstheme="minorHAnsi"/>
          <w:bCs/>
          <w:iCs/>
          <w:lang w:eastAsia="ru-RU"/>
        </w:rPr>
        <w:t>влияющие на экономику в отрасли и</w:t>
      </w:r>
      <w:r w:rsidR="00927877" w:rsidRPr="00454661">
        <w:rPr>
          <w:rFonts w:eastAsiaTheme="minorEastAsia" w:cstheme="minorHAnsi"/>
          <w:bCs/>
          <w:iCs/>
          <w:lang w:eastAsia="ru-RU"/>
        </w:rPr>
        <w:t xml:space="preserve"> сбыт </w:t>
      </w:r>
      <w:r w:rsidRPr="00454661">
        <w:rPr>
          <w:rFonts w:eastAsiaTheme="minorEastAsia" w:cstheme="minorHAnsi"/>
          <w:bCs/>
          <w:iCs/>
          <w:lang w:eastAsia="ru-RU"/>
        </w:rPr>
        <w:t>оказываемых Обществом услуг</w:t>
      </w:r>
      <w:r w:rsidR="00310092" w:rsidRPr="00454661">
        <w:rPr>
          <w:rFonts w:eastAsiaTheme="minorEastAsia" w:cstheme="minorHAnsi"/>
          <w:bCs/>
          <w:iCs/>
          <w:lang w:eastAsia="ru-RU"/>
        </w:rPr>
        <w:t>:</w:t>
      </w:r>
    </w:p>
    <w:p w:rsidR="00927877" w:rsidRPr="00927877" w:rsidRDefault="00E4443C" w:rsidP="006F2780">
      <w:pPr>
        <w:tabs>
          <w:tab w:val="left" w:pos="720"/>
        </w:tabs>
        <w:autoSpaceDE w:val="0"/>
        <w:autoSpaceDN w:val="0"/>
        <w:adjustRightInd w:val="0"/>
        <w:spacing w:before="60" w:after="0" w:line="240" w:lineRule="auto"/>
        <w:ind w:firstLine="720"/>
        <w:jc w:val="both"/>
        <w:rPr>
          <w:rFonts w:eastAsiaTheme="minorEastAsia" w:cstheme="minorHAnsi"/>
          <w:bCs/>
          <w:iCs/>
          <w:lang w:eastAsia="ru-RU"/>
        </w:rPr>
      </w:pPr>
      <w:r>
        <w:rPr>
          <w:rFonts w:eastAsiaTheme="minorEastAsia" w:cstheme="minorHAnsi"/>
          <w:bCs/>
          <w:iCs/>
          <w:lang w:eastAsia="ru-RU"/>
        </w:rPr>
        <w:t xml:space="preserve">- </w:t>
      </w:r>
      <w:r w:rsidR="00527315">
        <w:rPr>
          <w:rFonts w:eastAsiaTheme="minorEastAsia" w:cstheme="minorHAnsi"/>
          <w:bCs/>
          <w:iCs/>
          <w:lang w:eastAsia="ru-RU"/>
        </w:rPr>
        <w:t>в</w:t>
      </w:r>
      <w:r w:rsidR="00927877" w:rsidRPr="00927877">
        <w:rPr>
          <w:rFonts w:eastAsiaTheme="minorEastAsia" w:cstheme="minorHAnsi"/>
          <w:bCs/>
          <w:iCs/>
          <w:lang w:eastAsia="ru-RU"/>
        </w:rPr>
        <w:t xml:space="preserve"> части оказываемых услуг по передаче электроэнергии возможно снижение объема услуг в результате сокращения потребления электроэнергии существующими предпр</w:t>
      </w:r>
      <w:r w:rsidR="00D565BF">
        <w:rPr>
          <w:rFonts w:eastAsiaTheme="minorEastAsia" w:cstheme="minorHAnsi"/>
          <w:bCs/>
          <w:iCs/>
          <w:lang w:eastAsia="ru-RU"/>
        </w:rPr>
        <w:t>иятиями (рецессия производства);</w:t>
      </w:r>
    </w:p>
    <w:p w:rsidR="00927877" w:rsidRPr="00927877" w:rsidRDefault="00E4443C" w:rsidP="006F2780">
      <w:pPr>
        <w:tabs>
          <w:tab w:val="left" w:pos="720"/>
        </w:tabs>
        <w:autoSpaceDE w:val="0"/>
        <w:autoSpaceDN w:val="0"/>
        <w:adjustRightInd w:val="0"/>
        <w:spacing w:before="60" w:after="0" w:line="240" w:lineRule="auto"/>
        <w:ind w:firstLine="720"/>
        <w:jc w:val="both"/>
        <w:rPr>
          <w:rFonts w:eastAsiaTheme="minorEastAsia" w:cstheme="minorHAnsi"/>
          <w:bCs/>
          <w:iCs/>
          <w:lang w:eastAsia="ru-RU"/>
        </w:rPr>
      </w:pPr>
      <w:r>
        <w:rPr>
          <w:rFonts w:eastAsiaTheme="minorEastAsia" w:cstheme="minorHAnsi"/>
          <w:bCs/>
          <w:iCs/>
          <w:lang w:eastAsia="ru-RU"/>
        </w:rPr>
        <w:t xml:space="preserve">- </w:t>
      </w:r>
      <w:r w:rsidR="00527315">
        <w:rPr>
          <w:rFonts w:eastAsiaTheme="minorEastAsia" w:cstheme="minorHAnsi"/>
          <w:bCs/>
          <w:iCs/>
          <w:lang w:eastAsia="ru-RU"/>
        </w:rPr>
        <w:t>возникновение</w:t>
      </w:r>
      <w:r w:rsidR="00927877" w:rsidRPr="00927877">
        <w:rPr>
          <w:rFonts w:eastAsiaTheme="minorEastAsia" w:cstheme="minorHAnsi"/>
          <w:bCs/>
          <w:iCs/>
          <w:lang w:eastAsia="ru-RU"/>
        </w:rPr>
        <w:t xml:space="preserve"> ситуаци</w:t>
      </w:r>
      <w:r w:rsidR="00527315">
        <w:rPr>
          <w:rFonts w:eastAsiaTheme="minorEastAsia" w:cstheme="minorHAnsi"/>
          <w:bCs/>
          <w:iCs/>
          <w:lang w:eastAsia="ru-RU"/>
        </w:rPr>
        <w:t>й</w:t>
      </w:r>
      <w:r w:rsidR="00927877" w:rsidRPr="00927877">
        <w:rPr>
          <w:rFonts w:eastAsiaTheme="minorEastAsia" w:cstheme="minorHAnsi"/>
          <w:bCs/>
          <w:iCs/>
          <w:lang w:eastAsia="ru-RU"/>
        </w:rPr>
        <w:t>, при котор</w:t>
      </w:r>
      <w:r w:rsidR="00527315">
        <w:rPr>
          <w:rFonts w:eastAsiaTheme="minorEastAsia" w:cstheme="minorHAnsi"/>
          <w:bCs/>
          <w:iCs/>
          <w:lang w:eastAsia="ru-RU"/>
        </w:rPr>
        <w:t>ых</w:t>
      </w:r>
      <w:r w:rsidR="00927877" w:rsidRPr="00927877">
        <w:rPr>
          <w:rFonts w:eastAsiaTheme="minorEastAsia" w:cstheme="minorHAnsi"/>
          <w:bCs/>
          <w:iCs/>
          <w:lang w:eastAsia="ru-RU"/>
        </w:rPr>
        <w:t xml:space="preserve"> проявляются и нарастают существенные риски надежности электроснабжения потребителей и угроза надежной и устойчивой работы энергосистемы из-за перегрузки линий электропередачи и трансформаторов в нормальных и послеаварийных режимах. Положение также усложняется в связи с износ</w:t>
      </w:r>
      <w:r w:rsidR="00D565BF">
        <w:rPr>
          <w:rFonts w:eastAsiaTheme="minorEastAsia" w:cstheme="minorHAnsi"/>
          <w:bCs/>
          <w:iCs/>
          <w:lang w:eastAsia="ru-RU"/>
        </w:rPr>
        <w:t>ом энергетического оборудования;</w:t>
      </w:r>
    </w:p>
    <w:p w:rsidR="00927877" w:rsidRPr="00927877" w:rsidRDefault="00E4443C" w:rsidP="006F2780">
      <w:pPr>
        <w:tabs>
          <w:tab w:val="left" w:pos="720"/>
        </w:tabs>
        <w:autoSpaceDE w:val="0"/>
        <w:autoSpaceDN w:val="0"/>
        <w:adjustRightInd w:val="0"/>
        <w:spacing w:before="60" w:after="0" w:line="240" w:lineRule="auto"/>
        <w:ind w:firstLine="720"/>
        <w:jc w:val="both"/>
        <w:rPr>
          <w:rFonts w:eastAsiaTheme="minorEastAsia" w:cstheme="minorHAnsi"/>
          <w:bCs/>
          <w:iCs/>
          <w:lang w:eastAsia="ru-RU"/>
        </w:rPr>
      </w:pPr>
      <w:r>
        <w:rPr>
          <w:rFonts w:eastAsiaTheme="minorEastAsia" w:cstheme="minorHAnsi"/>
          <w:bCs/>
          <w:iCs/>
          <w:lang w:eastAsia="ru-RU"/>
        </w:rPr>
        <w:t xml:space="preserve">- </w:t>
      </w:r>
      <w:r w:rsidR="00927877" w:rsidRPr="00927877">
        <w:rPr>
          <w:rFonts w:eastAsiaTheme="minorEastAsia" w:cstheme="minorHAnsi"/>
          <w:bCs/>
          <w:iCs/>
          <w:lang w:eastAsia="ru-RU"/>
        </w:rPr>
        <w:t>изменения в законодательной базе РФ в отрасли, регулирующей деятельность сетевых компаний в части технологического присоединения.</w:t>
      </w:r>
      <w:r w:rsidR="00527315">
        <w:rPr>
          <w:rFonts w:eastAsiaTheme="minorEastAsia" w:cstheme="minorHAnsi"/>
          <w:bCs/>
          <w:iCs/>
          <w:lang w:eastAsia="ru-RU"/>
        </w:rPr>
        <w:t xml:space="preserve"> </w:t>
      </w:r>
      <w:r w:rsidR="00927877" w:rsidRPr="00927877">
        <w:rPr>
          <w:rFonts w:eastAsiaTheme="minorEastAsia" w:cstheme="minorHAnsi"/>
          <w:bCs/>
          <w:iCs/>
          <w:lang w:eastAsia="ru-RU"/>
        </w:rPr>
        <w:t xml:space="preserve">Это увеличение числа льготной категории заявителей, применение долгосрочной рассрочки платежа по договорам об осуществлении технологического присоединения в соответствии с действующим законодательством РФ в области технологического присоединения. </w:t>
      </w:r>
      <w:r w:rsidR="006460BD">
        <w:rPr>
          <w:rFonts w:eastAsiaTheme="minorEastAsia" w:cstheme="minorHAnsi"/>
          <w:bCs/>
          <w:iCs/>
          <w:lang w:eastAsia="ru-RU"/>
        </w:rPr>
        <w:t xml:space="preserve">-   </w:t>
      </w:r>
      <w:r w:rsidR="00927877" w:rsidRPr="00927877">
        <w:rPr>
          <w:rFonts w:eastAsiaTheme="minorEastAsia" w:cstheme="minorHAnsi"/>
          <w:bCs/>
          <w:iCs/>
          <w:lang w:eastAsia="ru-RU"/>
        </w:rPr>
        <w:t xml:space="preserve">недопущение включения в состав платы за технологическое присоединение инвестиционной составляющей на покрытие расходов, связанных с развитием существующей инфраструктуры, в том числе связей между объектами территориальных сетевых организаций и объектами единой национальной (общероссийской) электрической сети, за исключением расходов на строительство объектов электросетевого хозяйства - от существующих объектов электросетевого хозяйства до присоединяемых энергопринимающих устройств и (или) объектов электроэнергетики. Состав расходов, включаемых в состав платы за технологическое присоединение, определяется федеральным органом исполнительной власти </w:t>
      </w:r>
      <w:r w:rsidR="00D565BF">
        <w:rPr>
          <w:rFonts w:eastAsiaTheme="minorEastAsia" w:cstheme="minorHAnsi"/>
          <w:bCs/>
          <w:iCs/>
          <w:lang w:eastAsia="ru-RU"/>
        </w:rPr>
        <w:t>в области регулирования тарифов;</w:t>
      </w:r>
    </w:p>
    <w:p w:rsidR="00927877" w:rsidRPr="00927877" w:rsidRDefault="004B232D" w:rsidP="006F2780">
      <w:pPr>
        <w:tabs>
          <w:tab w:val="left" w:pos="720"/>
        </w:tabs>
        <w:autoSpaceDE w:val="0"/>
        <w:autoSpaceDN w:val="0"/>
        <w:adjustRightInd w:val="0"/>
        <w:spacing w:before="60" w:after="0" w:line="240" w:lineRule="auto"/>
        <w:ind w:firstLine="720"/>
        <w:jc w:val="both"/>
        <w:rPr>
          <w:rFonts w:eastAsiaTheme="minorEastAsia" w:cstheme="minorHAnsi"/>
          <w:bCs/>
          <w:iCs/>
          <w:lang w:eastAsia="ru-RU"/>
        </w:rPr>
      </w:pPr>
      <w:r>
        <w:rPr>
          <w:rFonts w:eastAsiaTheme="minorEastAsia" w:cstheme="minorHAnsi"/>
          <w:bCs/>
          <w:iCs/>
          <w:lang w:eastAsia="ru-RU"/>
        </w:rPr>
        <w:t xml:space="preserve">- </w:t>
      </w:r>
      <w:r w:rsidR="00927877" w:rsidRPr="00927877">
        <w:rPr>
          <w:rFonts w:eastAsiaTheme="minorEastAsia" w:cstheme="minorHAnsi"/>
          <w:bCs/>
          <w:iCs/>
          <w:lang w:eastAsia="ru-RU"/>
        </w:rPr>
        <w:t xml:space="preserve">своевременная реализация инвестиционных программ, которая положительно отразится на перспективах развития инфраструктуры электрических сетей </w:t>
      </w:r>
      <w:r w:rsidR="00BA7F2C" w:rsidRPr="00927877">
        <w:rPr>
          <w:rFonts w:eastAsiaTheme="minorEastAsia" w:cstheme="minorHAnsi"/>
          <w:bCs/>
          <w:iCs/>
          <w:lang w:eastAsia="ru-RU"/>
        </w:rPr>
        <w:t>регионов,</w:t>
      </w:r>
      <w:r w:rsidR="00927877" w:rsidRPr="00927877">
        <w:rPr>
          <w:rFonts w:eastAsiaTheme="minorEastAsia" w:cstheme="minorHAnsi"/>
          <w:bCs/>
          <w:iCs/>
          <w:lang w:eastAsia="ru-RU"/>
        </w:rPr>
        <w:t xml:space="preserve"> входящих в зону деятельности эмитента. Данное развитие электрических сетей позволит повысить, как надёжность электроснабжения существующих потребителей, так в перспективе даст возможность осуществить подключение ряда новых социально значимых заявителей и позволит в дальнейшем получить дополнительные источники доходов филиалов от реализации электрической энергии.</w:t>
      </w:r>
    </w:p>
    <w:p w:rsidR="00E17422" w:rsidRDefault="00E17422">
      <w:pPr>
        <w:rPr>
          <w:rFonts w:cstheme="minorHAnsi"/>
          <w:b/>
        </w:rPr>
      </w:pPr>
    </w:p>
    <w:p w:rsidR="00B967D2" w:rsidRDefault="00B967D2">
      <w:pPr>
        <w:rPr>
          <w:rFonts w:cstheme="minorHAnsi"/>
          <w:b/>
        </w:rPr>
      </w:pPr>
    </w:p>
    <w:p w:rsidR="00B967D2" w:rsidRDefault="00B967D2">
      <w:pPr>
        <w:rPr>
          <w:rFonts w:cstheme="minorHAnsi"/>
          <w:b/>
        </w:rPr>
      </w:pPr>
    </w:p>
    <w:p w:rsidR="00025658" w:rsidRDefault="00025658">
      <w:pPr>
        <w:rPr>
          <w:rFonts w:cstheme="minorHAnsi"/>
          <w:b/>
        </w:rPr>
      </w:pPr>
    </w:p>
    <w:p w:rsidR="00025658" w:rsidRDefault="00025658">
      <w:pPr>
        <w:rPr>
          <w:rFonts w:cstheme="minorHAnsi"/>
          <w:b/>
        </w:rPr>
      </w:pPr>
    </w:p>
    <w:p w:rsidR="006460BD" w:rsidRDefault="006460BD">
      <w:pPr>
        <w:rPr>
          <w:rFonts w:cstheme="minorHAnsi"/>
          <w:b/>
        </w:rPr>
      </w:pPr>
      <w:r w:rsidRPr="006460BD">
        <w:rPr>
          <w:rFonts w:cstheme="minorHAnsi"/>
          <w:b/>
        </w:rPr>
        <w:lastRenderedPageBreak/>
        <w:t>Рыночная доля Общества, каждого из видов деятельности Общества</w:t>
      </w:r>
    </w:p>
    <w:p w:rsidR="00DD1CE7" w:rsidRDefault="00DD1CE7" w:rsidP="00054D6E">
      <w:pPr>
        <w:spacing w:after="0" w:line="240" w:lineRule="auto"/>
        <w:ind w:firstLine="709"/>
        <w:jc w:val="both"/>
        <w:rPr>
          <w:rFonts w:cstheme="minorHAnsi"/>
        </w:rPr>
      </w:pPr>
      <w:r w:rsidRPr="00DD1CE7">
        <w:rPr>
          <w:rFonts w:cstheme="minorHAnsi"/>
        </w:rPr>
        <w:t>АО «</w:t>
      </w:r>
      <w:r w:rsidR="00B967D2">
        <w:rPr>
          <w:rFonts w:cstheme="minorHAnsi"/>
        </w:rPr>
        <w:t>ВМЭС</w:t>
      </w:r>
      <w:r w:rsidRPr="00DD1CE7">
        <w:rPr>
          <w:rFonts w:cstheme="minorHAnsi"/>
        </w:rPr>
        <w:t>» осуществляет следующие виды деятельности:</w:t>
      </w:r>
      <w:r>
        <w:rPr>
          <w:rFonts w:cstheme="minorHAnsi"/>
        </w:rPr>
        <w:t xml:space="preserve"> передача электроэнергии, технологическое присоединение, прочие виды деятельности промышленного и непромышленного характера.</w:t>
      </w:r>
    </w:p>
    <w:p w:rsidR="00DD1CE7" w:rsidRDefault="00DD1CE7" w:rsidP="00054D6E">
      <w:pPr>
        <w:spacing w:after="0" w:line="24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t>По итогам деятельности за</w:t>
      </w:r>
      <w:r w:rsidR="00825154">
        <w:rPr>
          <w:rFonts w:cstheme="minorHAnsi"/>
        </w:rPr>
        <w:t xml:space="preserve"> </w:t>
      </w:r>
      <w:r w:rsidR="003979E7">
        <w:rPr>
          <w:rFonts w:cstheme="minorHAnsi"/>
        </w:rPr>
        <w:t>1</w:t>
      </w:r>
      <w:r w:rsidR="00BC1F69">
        <w:rPr>
          <w:rFonts w:cstheme="minorHAnsi"/>
        </w:rPr>
        <w:t xml:space="preserve"> </w:t>
      </w:r>
      <w:r w:rsidR="00DE048E">
        <w:rPr>
          <w:rFonts w:cstheme="minorHAnsi"/>
        </w:rPr>
        <w:t>полугодие</w:t>
      </w:r>
      <w:r w:rsidR="00F60AEC">
        <w:rPr>
          <w:rFonts w:cstheme="minorHAnsi"/>
        </w:rPr>
        <w:t xml:space="preserve"> 202</w:t>
      </w:r>
      <w:r w:rsidR="007E7138">
        <w:rPr>
          <w:rFonts w:cstheme="minorHAnsi"/>
        </w:rPr>
        <w:t>6</w:t>
      </w:r>
      <w:r>
        <w:rPr>
          <w:rFonts w:cstheme="minorHAnsi"/>
        </w:rPr>
        <w:t xml:space="preserve"> год</w:t>
      </w:r>
      <w:r w:rsidR="000D0D76">
        <w:rPr>
          <w:rFonts w:cstheme="minorHAnsi"/>
        </w:rPr>
        <w:t>а</w:t>
      </w:r>
      <w:r>
        <w:rPr>
          <w:rFonts w:cstheme="minorHAnsi"/>
        </w:rPr>
        <w:t xml:space="preserve"> доля каждого вида деятельности в общем объёме выручки от реализации услуг составила:</w:t>
      </w:r>
    </w:p>
    <w:p w:rsidR="006F2780" w:rsidRDefault="006F2780" w:rsidP="00054D6E">
      <w:pPr>
        <w:spacing w:after="0" w:line="240" w:lineRule="auto"/>
        <w:ind w:firstLine="709"/>
        <w:jc w:val="both"/>
        <w:rPr>
          <w:rFonts w:cstheme="minorHAnsi"/>
        </w:rPr>
      </w:pPr>
    </w:p>
    <w:p w:rsidR="00DD1CE7" w:rsidRPr="00DD1CE7" w:rsidRDefault="009E56A9" w:rsidP="005F4681">
      <w:pPr>
        <w:jc w:val="both"/>
        <w:rPr>
          <w:rFonts w:cstheme="minorHAnsi"/>
        </w:rPr>
      </w:pPr>
      <w:r>
        <w:rPr>
          <w:noProof/>
          <w:lang w:eastAsia="ru-RU"/>
        </w:rPr>
        <w:drawing>
          <wp:inline distT="0" distB="0" distL="0" distR="0" wp14:anchorId="6A9C3B42" wp14:editId="17830911">
            <wp:extent cx="5953125" cy="39528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D051C" w:rsidRDefault="00DD051C">
      <w:pPr>
        <w:rPr>
          <w:rFonts w:cstheme="minorHAnsi"/>
          <w:b/>
        </w:rPr>
      </w:pPr>
    </w:p>
    <w:tbl>
      <w:tblPr>
        <w:tblpPr w:leftFromText="180" w:rightFromText="180" w:vertAnchor="page" w:horzAnchor="margin" w:tblpY="1027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9"/>
        <w:gridCol w:w="1783"/>
        <w:gridCol w:w="1783"/>
      </w:tblGrid>
      <w:tr w:rsidR="00DD051C" w:rsidRPr="00E17422" w:rsidTr="009E56A9">
        <w:trPr>
          <w:trHeight w:val="862"/>
        </w:trPr>
        <w:tc>
          <w:tcPr>
            <w:tcW w:w="3092" w:type="pct"/>
            <w:shd w:val="clear" w:color="auto" w:fill="1F497D" w:themeFill="text2"/>
            <w:vAlign w:val="center"/>
            <w:hideMark/>
          </w:tcPr>
          <w:p w:rsidR="00DD051C" w:rsidRPr="00E17422" w:rsidRDefault="00DD051C" w:rsidP="009E56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lang w:eastAsia="ru-RU"/>
              </w:rPr>
            </w:pPr>
            <w:r w:rsidRPr="00E17422">
              <w:rPr>
                <w:rFonts w:eastAsia="Times New Roman" w:cstheme="minorHAnsi"/>
                <w:b/>
                <w:bCs/>
                <w:color w:val="FFFFFF" w:themeColor="background1"/>
                <w:lang w:eastAsia="ru-RU"/>
              </w:rPr>
              <w:t xml:space="preserve">Наименование </w:t>
            </w:r>
          </w:p>
        </w:tc>
        <w:tc>
          <w:tcPr>
            <w:tcW w:w="954" w:type="pct"/>
            <w:shd w:val="clear" w:color="auto" w:fill="1F497D" w:themeFill="text2"/>
            <w:vAlign w:val="center"/>
          </w:tcPr>
          <w:p w:rsidR="003979E7" w:rsidRDefault="00825154" w:rsidP="009E56A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lang w:eastAsia="ru-RU"/>
              </w:rPr>
            </w:pPr>
            <w:r>
              <w:rPr>
                <w:rFonts w:eastAsia="Times New Roman" w:cstheme="minorHAnsi"/>
                <w:b/>
                <w:color w:val="FFFFFF" w:themeColor="background1"/>
                <w:lang w:eastAsia="ru-RU"/>
              </w:rPr>
              <w:t xml:space="preserve">1 </w:t>
            </w:r>
            <w:r w:rsidR="00DE048E">
              <w:rPr>
                <w:rFonts w:eastAsia="Times New Roman" w:cstheme="minorHAnsi"/>
                <w:b/>
                <w:color w:val="FFFFFF" w:themeColor="background1"/>
                <w:lang w:eastAsia="ru-RU"/>
              </w:rPr>
              <w:t>полугодие</w:t>
            </w:r>
            <w:r w:rsidR="0002446F">
              <w:rPr>
                <w:rFonts w:eastAsia="Times New Roman" w:cstheme="minorHAnsi"/>
                <w:b/>
                <w:color w:val="FFFFFF" w:themeColor="background1"/>
                <w:lang w:eastAsia="ru-RU"/>
              </w:rPr>
              <w:t xml:space="preserve"> </w:t>
            </w:r>
          </w:p>
          <w:p w:rsidR="00DD051C" w:rsidRPr="00E17422" w:rsidRDefault="00443744" w:rsidP="009E56A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lang w:eastAsia="ru-RU"/>
              </w:rPr>
            </w:pPr>
            <w:r>
              <w:rPr>
                <w:rFonts w:eastAsia="Times New Roman" w:cstheme="minorHAnsi"/>
                <w:b/>
                <w:color w:val="FFFFFF" w:themeColor="background1"/>
                <w:lang w:eastAsia="ru-RU"/>
              </w:rPr>
              <w:t>202</w:t>
            </w:r>
            <w:r w:rsidR="0013514F">
              <w:rPr>
                <w:rFonts w:eastAsia="Times New Roman" w:cstheme="minorHAnsi"/>
                <w:b/>
                <w:color w:val="FFFFFF" w:themeColor="background1"/>
                <w:lang w:eastAsia="ru-RU"/>
              </w:rPr>
              <w:t>6</w:t>
            </w:r>
            <w:r w:rsidR="003979E7">
              <w:rPr>
                <w:rFonts w:eastAsia="Times New Roman" w:cstheme="minorHAnsi"/>
                <w:b/>
                <w:color w:val="FFFFFF" w:themeColor="background1"/>
                <w:lang w:eastAsia="ru-RU"/>
              </w:rPr>
              <w:t xml:space="preserve"> </w:t>
            </w:r>
            <w:r w:rsidR="00F427CF">
              <w:rPr>
                <w:rFonts w:eastAsia="Times New Roman" w:cstheme="minorHAnsi"/>
                <w:b/>
                <w:color w:val="FFFFFF" w:themeColor="background1"/>
                <w:lang w:eastAsia="ru-RU"/>
              </w:rPr>
              <w:t>год</w:t>
            </w:r>
            <w:r>
              <w:rPr>
                <w:rFonts w:eastAsia="Times New Roman" w:cstheme="minorHAnsi"/>
                <w:b/>
                <w:color w:val="FFFFFF" w:themeColor="background1"/>
                <w:lang w:eastAsia="ru-RU"/>
              </w:rPr>
              <w:t>а</w:t>
            </w:r>
          </w:p>
          <w:p w:rsidR="00DD051C" w:rsidRPr="00E17422" w:rsidRDefault="00DD051C" w:rsidP="009E56A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lang w:eastAsia="ru-RU"/>
              </w:rPr>
            </w:pPr>
            <w:r w:rsidRPr="00E17422">
              <w:rPr>
                <w:rFonts w:eastAsia="Times New Roman" w:cstheme="minorHAnsi"/>
                <w:b/>
                <w:color w:val="FFFFFF" w:themeColor="background1"/>
                <w:lang w:eastAsia="ru-RU"/>
              </w:rPr>
              <w:t xml:space="preserve">факт </w:t>
            </w:r>
          </w:p>
        </w:tc>
        <w:tc>
          <w:tcPr>
            <w:tcW w:w="954" w:type="pct"/>
            <w:shd w:val="clear" w:color="auto" w:fill="1F497D" w:themeFill="text2"/>
            <w:vAlign w:val="center"/>
          </w:tcPr>
          <w:p w:rsidR="00DD051C" w:rsidRPr="00E17422" w:rsidRDefault="00DD051C" w:rsidP="009E56A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lang w:eastAsia="ru-RU"/>
              </w:rPr>
            </w:pPr>
            <w:r>
              <w:rPr>
                <w:rFonts w:eastAsia="Times New Roman" w:cstheme="minorHAnsi"/>
                <w:b/>
                <w:color w:val="FFFFFF" w:themeColor="background1"/>
                <w:lang w:eastAsia="ru-RU"/>
              </w:rPr>
              <w:t>Доля вида деятельности</w:t>
            </w:r>
          </w:p>
        </w:tc>
      </w:tr>
      <w:tr w:rsidR="00B967D2" w:rsidRPr="00E17422" w:rsidTr="009E56A9">
        <w:trPr>
          <w:trHeight w:val="283"/>
        </w:trPr>
        <w:tc>
          <w:tcPr>
            <w:tcW w:w="3092" w:type="pct"/>
            <w:shd w:val="clear" w:color="000000" w:fill="FFFFFF"/>
            <w:noWrap/>
            <w:hideMark/>
          </w:tcPr>
          <w:p w:rsidR="00B967D2" w:rsidRPr="00E17422" w:rsidRDefault="00B967D2" w:rsidP="009E56A9">
            <w:pPr>
              <w:spacing w:after="0" w:line="240" w:lineRule="auto"/>
              <w:ind w:firstLineChars="100" w:firstLine="220"/>
              <w:rPr>
                <w:rFonts w:eastAsia="Times New Roman" w:cstheme="minorHAnsi"/>
                <w:b/>
                <w:lang w:eastAsia="ru-RU"/>
              </w:rPr>
            </w:pPr>
            <w:r w:rsidRPr="00E17422">
              <w:rPr>
                <w:rFonts w:eastAsia="Times New Roman" w:cstheme="minorHAnsi"/>
                <w:b/>
                <w:lang w:eastAsia="ru-RU"/>
              </w:rPr>
              <w:t>Выручка от реализации продукции, млн. руб.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D2" w:rsidRPr="00257267" w:rsidRDefault="00DE048E" w:rsidP="0082515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ru-RU"/>
              </w:rPr>
              <w:t>1 413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7D2" w:rsidRPr="003979E7" w:rsidRDefault="00B967D2" w:rsidP="009E56A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979E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ru-RU"/>
              </w:rPr>
              <w:t>100%</w:t>
            </w:r>
          </w:p>
        </w:tc>
      </w:tr>
      <w:tr w:rsidR="00825154" w:rsidRPr="00825154" w:rsidTr="00356AA7">
        <w:trPr>
          <w:trHeight w:val="387"/>
        </w:trPr>
        <w:tc>
          <w:tcPr>
            <w:tcW w:w="3092" w:type="pct"/>
            <w:shd w:val="clear" w:color="000000" w:fill="FFFFFF"/>
            <w:noWrap/>
            <w:hideMark/>
          </w:tcPr>
          <w:p w:rsidR="00825154" w:rsidRPr="00E17422" w:rsidRDefault="00825154" w:rsidP="00825154">
            <w:pPr>
              <w:spacing w:after="0" w:line="240" w:lineRule="auto"/>
              <w:ind w:firstLineChars="300" w:firstLine="660"/>
              <w:rPr>
                <w:rFonts w:eastAsia="Times New Roman" w:cstheme="minorHAnsi"/>
                <w:i/>
                <w:iCs/>
                <w:lang w:eastAsia="ru-RU"/>
              </w:rPr>
            </w:pPr>
            <w:r w:rsidRPr="00E17422">
              <w:rPr>
                <w:rFonts w:eastAsia="Times New Roman" w:cstheme="minorHAnsi"/>
                <w:i/>
                <w:iCs/>
                <w:lang w:eastAsia="ru-RU"/>
              </w:rPr>
              <w:t>от услуг по передаче электроэнергии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54" w:rsidRPr="003979E7" w:rsidRDefault="00DE048E" w:rsidP="0082515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ru-RU"/>
              </w:rPr>
              <w:t>1 292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154" w:rsidRPr="003979E7" w:rsidRDefault="00F850E1" w:rsidP="00DE048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ru-RU"/>
              </w:rPr>
              <w:t>9</w:t>
            </w:r>
            <w:r w:rsidR="00DE048E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ru-RU"/>
              </w:rPr>
              <w:t>1</w:t>
            </w:r>
            <w:r w:rsidR="00825154" w:rsidRPr="003979E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825154" w:rsidRPr="00825154" w:rsidTr="00356AA7">
        <w:trPr>
          <w:trHeight w:val="421"/>
        </w:trPr>
        <w:tc>
          <w:tcPr>
            <w:tcW w:w="3092" w:type="pct"/>
            <w:shd w:val="clear" w:color="000000" w:fill="FFFFFF"/>
            <w:noWrap/>
            <w:hideMark/>
          </w:tcPr>
          <w:p w:rsidR="00825154" w:rsidRPr="00E17422" w:rsidRDefault="00825154" w:rsidP="00825154">
            <w:pPr>
              <w:spacing w:after="0" w:line="240" w:lineRule="auto"/>
              <w:ind w:firstLineChars="300" w:firstLine="660"/>
              <w:rPr>
                <w:rFonts w:eastAsia="Times New Roman" w:cstheme="minorHAnsi"/>
                <w:i/>
                <w:iCs/>
                <w:lang w:eastAsia="ru-RU"/>
              </w:rPr>
            </w:pPr>
            <w:r w:rsidRPr="00E17422">
              <w:rPr>
                <w:rFonts w:eastAsia="Times New Roman" w:cstheme="minorHAnsi"/>
                <w:i/>
                <w:iCs/>
                <w:lang w:eastAsia="ru-RU"/>
              </w:rPr>
              <w:t>от услуг по технологическому присоединению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154" w:rsidRPr="006E6BCE" w:rsidRDefault="00DE048E" w:rsidP="0082515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154" w:rsidRPr="003979E7" w:rsidRDefault="007E7138" w:rsidP="0082515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ru-RU"/>
              </w:rPr>
              <w:t>6</w:t>
            </w:r>
            <w:r w:rsidR="00825154" w:rsidRPr="003979E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825154" w:rsidRPr="00825154" w:rsidTr="00356AA7">
        <w:trPr>
          <w:trHeight w:val="415"/>
        </w:trPr>
        <w:tc>
          <w:tcPr>
            <w:tcW w:w="3092" w:type="pct"/>
            <w:shd w:val="clear" w:color="000000" w:fill="FFFFFF"/>
            <w:noWrap/>
          </w:tcPr>
          <w:p w:rsidR="00825154" w:rsidRPr="00E17422" w:rsidRDefault="00825154" w:rsidP="00825154">
            <w:pPr>
              <w:spacing w:after="0" w:line="240" w:lineRule="auto"/>
              <w:ind w:firstLineChars="300" w:firstLine="660"/>
              <w:rPr>
                <w:rFonts w:eastAsia="Times New Roman" w:cstheme="minorHAnsi"/>
                <w:i/>
                <w:iCs/>
                <w:lang w:eastAsia="ru-RU"/>
              </w:rPr>
            </w:pPr>
            <w:r w:rsidRPr="00E17422">
              <w:rPr>
                <w:rFonts w:eastAsia="Times New Roman" w:cstheme="minorHAnsi"/>
                <w:i/>
                <w:iCs/>
                <w:lang w:eastAsia="ru-RU"/>
              </w:rPr>
              <w:t>от прочей продукции (услуг)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54" w:rsidRPr="00C86E3D" w:rsidRDefault="00DE048E" w:rsidP="0082515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154" w:rsidRPr="003979E7" w:rsidRDefault="00DE048E" w:rsidP="0082515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ru-RU"/>
              </w:rPr>
              <w:t>3</w:t>
            </w:r>
            <w:r w:rsidR="00825154" w:rsidRPr="003979E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</w:tbl>
    <w:p w:rsidR="00DD051C" w:rsidRPr="00DD051C" w:rsidRDefault="001913AC" w:rsidP="00DD051C">
      <w:pPr>
        <w:rPr>
          <w:rFonts w:cstheme="minorHAnsi"/>
        </w:rPr>
      </w:pPr>
      <w:r>
        <w:rPr>
          <w:rFonts w:cstheme="minorHAnsi"/>
        </w:rPr>
        <w:t xml:space="preserve"> </w:t>
      </w:r>
    </w:p>
    <w:p w:rsidR="00DD051C" w:rsidRPr="00DD051C" w:rsidRDefault="00DD051C" w:rsidP="00DD051C">
      <w:pPr>
        <w:rPr>
          <w:rFonts w:cstheme="minorHAnsi"/>
        </w:rPr>
      </w:pPr>
    </w:p>
    <w:p w:rsidR="00DD051C" w:rsidRDefault="00DD051C" w:rsidP="00DD051C">
      <w:pPr>
        <w:rPr>
          <w:rFonts w:cstheme="minorHAnsi"/>
        </w:rPr>
      </w:pPr>
      <w:bookmarkStart w:id="0" w:name="_GoBack"/>
      <w:bookmarkEnd w:id="0"/>
    </w:p>
    <w:p w:rsidR="00DD1CE7" w:rsidRPr="00DD051C" w:rsidRDefault="00DD051C" w:rsidP="00DD051C">
      <w:pPr>
        <w:tabs>
          <w:tab w:val="left" w:pos="1560"/>
        </w:tabs>
        <w:rPr>
          <w:rFonts w:cstheme="minorHAnsi"/>
        </w:rPr>
      </w:pPr>
      <w:r>
        <w:rPr>
          <w:rFonts w:cstheme="minorHAnsi"/>
        </w:rPr>
        <w:tab/>
      </w:r>
    </w:p>
    <w:sectPr w:rsidR="00DD1CE7" w:rsidRPr="00DD0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AE6" w:rsidRDefault="008B4AE6" w:rsidP="008B4AE6">
      <w:pPr>
        <w:spacing w:after="0" w:line="240" w:lineRule="auto"/>
      </w:pPr>
      <w:r>
        <w:separator/>
      </w:r>
    </w:p>
  </w:endnote>
  <w:endnote w:type="continuationSeparator" w:id="0">
    <w:p w:rsidR="008B4AE6" w:rsidRDefault="008B4AE6" w:rsidP="008B4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AE6" w:rsidRDefault="008B4AE6" w:rsidP="008B4AE6">
      <w:pPr>
        <w:spacing w:after="0" w:line="240" w:lineRule="auto"/>
      </w:pPr>
      <w:r>
        <w:separator/>
      </w:r>
    </w:p>
  </w:footnote>
  <w:footnote w:type="continuationSeparator" w:id="0">
    <w:p w:rsidR="008B4AE6" w:rsidRDefault="008B4AE6" w:rsidP="008B4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976717"/>
    <w:multiLevelType w:val="multilevel"/>
    <w:tmpl w:val="3600F72A"/>
    <w:lvl w:ilvl="0">
      <w:start w:val="1"/>
      <w:numFmt w:val="bullet"/>
      <w:lvlText w:val="·"/>
      <w:lvlJc w:val="left"/>
      <w:rPr>
        <w:sz w:val="24"/>
      </w:rPr>
    </w:lvl>
    <w:lvl w:ilvl="1">
      <w:start w:val="1"/>
      <w:numFmt w:val="bullet"/>
      <w:lvlText w:val="o"/>
      <w:lvlJc w:val="left"/>
      <w:rPr>
        <w:rFonts w:ascii="Courier New" w:hAnsi="Courier New"/>
        <w:sz w:val="24"/>
      </w:rPr>
    </w:lvl>
    <w:lvl w:ilvl="2">
      <w:start w:val="1"/>
      <w:numFmt w:val="bullet"/>
      <w:lvlText w:val="§"/>
      <w:lvlJc w:val="left"/>
      <w:rPr>
        <w:sz w:val="24"/>
      </w:rPr>
    </w:lvl>
    <w:lvl w:ilvl="3">
      <w:start w:val="1"/>
      <w:numFmt w:val="bullet"/>
      <w:lvlText w:val="·"/>
      <w:lvlJc w:val="left"/>
      <w:rPr>
        <w:sz w:val="24"/>
      </w:rPr>
    </w:lvl>
    <w:lvl w:ilvl="4">
      <w:start w:val="1"/>
      <w:numFmt w:val="bullet"/>
      <w:lvlText w:val="o"/>
      <w:lvlJc w:val="left"/>
      <w:rPr>
        <w:rFonts w:ascii="Courier New" w:hAnsi="Courier New"/>
        <w:sz w:val="24"/>
      </w:rPr>
    </w:lvl>
    <w:lvl w:ilvl="5">
      <w:start w:val="1"/>
      <w:numFmt w:val="bullet"/>
      <w:lvlText w:val="§"/>
      <w:lvlJc w:val="left"/>
      <w:rPr>
        <w:sz w:val="24"/>
      </w:rPr>
    </w:lvl>
    <w:lvl w:ilvl="6">
      <w:start w:val="1"/>
      <w:numFmt w:val="bullet"/>
      <w:lvlText w:val="·"/>
      <w:lvlJc w:val="left"/>
      <w:rPr>
        <w:sz w:val="24"/>
      </w:rPr>
    </w:lvl>
    <w:lvl w:ilvl="7">
      <w:start w:val="1"/>
      <w:numFmt w:val="bullet"/>
      <w:lvlText w:val="o"/>
      <w:lvlJc w:val="left"/>
      <w:rPr>
        <w:rFonts w:ascii="Courier New" w:hAnsi="Courier New"/>
        <w:sz w:val="24"/>
      </w:rPr>
    </w:lvl>
    <w:lvl w:ilvl="8">
      <w:start w:val="1"/>
      <w:numFmt w:val="bullet"/>
      <w:lvlText w:val="§"/>
      <w:lvlJc w:val="left"/>
      <w:rPr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F7F"/>
    <w:rsid w:val="00017D86"/>
    <w:rsid w:val="0002446F"/>
    <w:rsid w:val="00025658"/>
    <w:rsid w:val="00036762"/>
    <w:rsid w:val="00054D6E"/>
    <w:rsid w:val="000671A5"/>
    <w:rsid w:val="00073313"/>
    <w:rsid w:val="00085672"/>
    <w:rsid w:val="0009122D"/>
    <w:rsid w:val="000C5D3A"/>
    <w:rsid w:val="000D0D76"/>
    <w:rsid w:val="000E6083"/>
    <w:rsid w:val="0013514F"/>
    <w:rsid w:val="00153B3E"/>
    <w:rsid w:val="001711F8"/>
    <w:rsid w:val="0018477D"/>
    <w:rsid w:val="00186306"/>
    <w:rsid w:val="001913AC"/>
    <w:rsid w:val="001C6B08"/>
    <w:rsid w:val="001E0FE1"/>
    <w:rsid w:val="001E6918"/>
    <w:rsid w:val="0020153C"/>
    <w:rsid w:val="00214F6E"/>
    <w:rsid w:val="00246C9D"/>
    <w:rsid w:val="0024757E"/>
    <w:rsid w:val="00257267"/>
    <w:rsid w:val="002836FA"/>
    <w:rsid w:val="002961B8"/>
    <w:rsid w:val="002C02A5"/>
    <w:rsid w:val="002D191E"/>
    <w:rsid w:val="002D5464"/>
    <w:rsid w:val="00310092"/>
    <w:rsid w:val="00335C08"/>
    <w:rsid w:val="003664EF"/>
    <w:rsid w:val="00371C41"/>
    <w:rsid w:val="003933B3"/>
    <w:rsid w:val="00396BEF"/>
    <w:rsid w:val="003979E7"/>
    <w:rsid w:val="003A7F7F"/>
    <w:rsid w:val="003D1885"/>
    <w:rsid w:val="003D4414"/>
    <w:rsid w:val="004356F0"/>
    <w:rsid w:val="00443744"/>
    <w:rsid w:val="00454661"/>
    <w:rsid w:val="004B232D"/>
    <w:rsid w:val="004C5282"/>
    <w:rsid w:val="0051107C"/>
    <w:rsid w:val="00527315"/>
    <w:rsid w:val="00542908"/>
    <w:rsid w:val="005447E7"/>
    <w:rsid w:val="00574F98"/>
    <w:rsid w:val="005A2072"/>
    <w:rsid w:val="005C55FD"/>
    <w:rsid w:val="005F4681"/>
    <w:rsid w:val="006103EC"/>
    <w:rsid w:val="00643702"/>
    <w:rsid w:val="006460BD"/>
    <w:rsid w:val="00666ABA"/>
    <w:rsid w:val="006E6BCE"/>
    <w:rsid w:val="006F2780"/>
    <w:rsid w:val="007172C6"/>
    <w:rsid w:val="00724F07"/>
    <w:rsid w:val="007E7138"/>
    <w:rsid w:val="00825154"/>
    <w:rsid w:val="008534BC"/>
    <w:rsid w:val="00854655"/>
    <w:rsid w:val="00856A0A"/>
    <w:rsid w:val="008618FE"/>
    <w:rsid w:val="0088755C"/>
    <w:rsid w:val="00892EAF"/>
    <w:rsid w:val="008A631C"/>
    <w:rsid w:val="008B4AE6"/>
    <w:rsid w:val="009072A5"/>
    <w:rsid w:val="0092024C"/>
    <w:rsid w:val="00920F01"/>
    <w:rsid w:val="00927877"/>
    <w:rsid w:val="00927D05"/>
    <w:rsid w:val="00935DCF"/>
    <w:rsid w:val="0094232C"/>
    <w:rsid w:val="009542B3"/>
    <w:rsid w:val="009B31E9"/>
    <w:rsid w:val="009B420E"/>
    <w:rsid w:val="009B6801"/>
    <w:rsid w:val="009E0E22"/>
    <w:rsid w:val="009E56A9"/>
    <w:rsid w:val="009F1EAB"/>
    <w:rsid w:val="00A247D3"/>
    <w:rsid w:val="00A36C0F"/>
    <w:rsid w:val="00A55497"/>
    <w:rsid w:val="00A561FF"/>
    <w:rsid w:val="00A81091"/>
    <w:rsid w:val="00AE17E3"/>
    <w:rsid w:val="00AE371D"/>
    <w:rsid w:val="00AE69DC"/>
    <w:rsid w:val="00B245A6"/>
    <w:rsid w:val="00B81001"/>
    <w:rsid w:val="00B91CF6"/>
    <w:rsid w:val="00B967D2"/>
    <w:rsid w:val="00B974A0"/>
    <w:rsid w:val="00BA7F2C"/>
    <w:rsid w:val="00BC1F69"/>
    <w:rsid w:val="00BC2787"/>
    <w:rsid w:val="00BE141B"/>
    <w:rsid w:val="00C154E4"/>
    <w:rsid w:val="00C86E3D"/>
    <w:rsid w:val="00C96AD4"/>
    <w:rsid w:val="00CA5CF8"/>
    <w:rsid w:val="00CA7F94"/>
    <w:rsid w:val="00CC4330"/>
    <w:rsid w:val="00CD32B1"/>
    <w:rsid w:val="00D23442"/>
    <w:rsid w:val="00D40B8A"/>
    <w:rsid w:val="00D44AFE"/>
    <w:rsid w:val="00D55277"/>
    <w:rsid w:val="00D565BF"/>
    <w:rsid w:val="00D91023"/>
    <w:rsid w:val="00DA6BC6"/>
    <w:rsid w:val="00DB24FA"/>
    <w:rsid w:val="00DB3A28"/>
    <w:rsid w:val="00DB7B45"/>
    <w:rsid w:val="00DD051C"/>
    <w:rsid w:val="00DD1CE7"/>
    <w:rsid w:val="00DD7165"/>
    <w:rsid w:val="00DE048E"/>
    <w:rsid w:val="00E17422"/>
    <w:rsid w:val="00E4443C"/>
    <w:rsid w:val="00E9108B"/>
    <w:rsid w:val="00EC51B3"/>
    <w:rsid w:val="00F03D50"/>
    <w:rsid w:val="00F22870"/>
    <w:rsid w:val="00F427CF"/>
    <w:rsid w:val="00F54706"/>
    <w:rsid w:val="00F604B9"/>
    <w:rsid w:val="00F60AEC"/>
    <w:rsid w:val="00F850E1"/>
    <w:rsid w:val="00FB1A67"/>
    <w:rsid w:val="00FD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2694E"/>
  <w15:docId w15:val="{538A39B0-B84C-41BE-946E-F0178497A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D6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B4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4AE6"/>
  </w:style>
  <w:style w:type="paragraph" w:styleId="a7">
    <w:name w:val="footer"/>
    <w:basedOn w:val="a"/>
    <w:link w:val="a8"/>
    <w:uiPriority w:val="99"/>
    <w:unhideWhenUsed/>
    <w:rsid w:val="008B4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4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800" b="1" i="0" baseline="0">
                <a:effectLst/>
              </a:rPr>
              <a:t>Структура фактической выручки АО "ВМЭС" за                          1</a:t>
            </a:r>
            <a:r>
              <a:rPr lang="ru-RU" sz="1400" b="0" i="0" baseline="0">
                <a:effectLst/>
              </a:rPr>
              <a:t> </a:t>
            </a:r>
            <a:r>
              <a:rPr lang="ru-RU" sz="1800" b="1" i="0" baseline="0">
                <a:effectLst/>
              </a:rPr>
              <a:t>полугодие 2026 года, в млн руб. и %</a:t>
            </a:r>
            <a:endParaRPr lang="ru-RU">
              <a:effectLst/>
            </a:endParaRPr>
          </a:p>
        </c:rich>
      </c:tx>
      <c:layout>
        <c:manualLayout>
          <c:xMode val="edge"/>
          <c:yMode val="edge"/>
          <c:x val="2.620628596724214E-2"/>
          <c:y val="2.2598870056497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3328083989501157E-4"/>
          <c:y val="0.38458817948961199"/>
          <c:w val="0.82806677165354325"/>
          <c:h val="0.54793131581443888"/>
        </c:manualLayout>
      </c:layout>
      <c:pie3DChart>
        <c:varyColors val="1"/>
        <c:ser>
          <c:idx val="0"/>
          <c:order val="0"/>
          <c:explosion val="29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rgbClr val="808080">
                    <a:alpha val="0"/>
                  </a:srgbClr>
                </a:solidFill>
              </a:ln>
              <a:effectLst/>
              <a:sp3d contourW="25400">
                <a:contourClr>
                  <a:srgbClr val="808080">
                    <a:alpha val="0"/>
                  </a:srgb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34B-4230-9B3E-E6AD8620D83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rgbClr val="808080">
                    <a:alpha val="0"/>
                  </a:srgbClr>
                </a:solidFill>
              </a:ln>
              <a:effectLst/>
              <a:sp3d contourW="25400">
                <a:contourClr>
                  <a:srgbClr val="808080">
                    <a:alpha val="0"/>
                  </a:srgb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34B-4230-9B3E-E6AD8620D83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rgbClr val="808080">
                    <a:alpha val="0"/>
                  </a:srgbClr>
                </a:solidFill>
              </a:ln>
              <a:effectLst/>
              <a:sp3d contourW="25400">
                <a:contourClr>
                  <a:srgbClr val="808080">
                    <a:alpha val="0"/>
                  </a:srgb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34B-4230-9B3E-E6AD8620D831}"/>
              </c:ext>
            </c:extLst>
          </c:dPt>
          <c:dLbls>
            <c:dLbl>
              <c:idx val="0"/>
              <c:layout>
                <c:manualLayout>
                  <c:x val="-0.14491346981627296"/>
                  <c:y val="-0.2184341776555039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50" b="1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7075E1A5-36B9-4C77-A542-0516BBDB348B}" type="VALUE">
                      <a:rPr lang="ru-RU">
                        <a:solidFill>
                          <a:schemeClr val="bg1"/>
                        </a:solidFill>
                      </a:rPr>
                      <a:pPr>
                        <a:defRPr sz="1050" b="1">
                          <a:solidFill>
                            <a:schemeClr val="bg1"/>
                          </a:solidFill>
                        </a:defRPr>
                      </a:pPr>
                      <a:t>[ЗНАЧЕНИЕ]</a:t>
                    </a:fld>
                    <a:r>
                      <a:rPr lang="ru-RU">
                        <a:solidFill>
                          <a:schemeClr val="bg1"/>
                        </a:solidFill>
                      </a:rPr>
                      <a:t> млн</a:t>
                    </a:r>
                    <a:r>
                      <a:rPr lang="ru-RU" baseline="0">
                        <a:solidFill>
                          <a:schemeClr val="bg1"/>
                        </a:solidFill>
                      </a:rPr>
                      <a:t> </a:t>
                    </a:r>
                    <a:r>
                      <a:rPr lang="ru-RU">
                        <a:solidFill>
                          <a:schemeClr val="bg1"/>
                        </a:solidFill>
                      </a:rPr>
                      <a:t>руб</a:t>
                    </a:r>
                    <a:r>
                      <a:rPr lang="ru-RU" baseline="0">
                        <a:solidFill>
                          <a:schemeClr val="bg1"/>
                        </a:solidFill>
                      </a:rPr>
                      <a:t>; </a:t>
                    </a:r>
                    <a:fld id="{227F9ACA-00A1-4D9A-9ACB-8D8BB98CA87B}" type="PERCENTAGE">
                      <a:rPr lang="ru-RU" baseline="0">
                        <a:solidFill>
                          <a:schemeClr val="bg1"/>
                        </a:solidFill>
                      </a:rPr>
                      <a:pPr>
                        <a:defRPr sz="1050" b="1">
                          <a:solidFill>
                            <a:schemeClr val="bg1"/>
                          </a:solidFill>
                        </a:defRPr>
                      </a:pPr>
                      <a:t>[ПРОЦЕНТ]</a:t>
                    </a:fld>
                    <a:endParaRPr lang="ru-RU" baseline="0">
                      <a:solidFill>
                        <a:schemeClr val="bg1"/>
                      </a:solidFill>
                    </a:endParaRPr>
                  </a:p>
                </c:rich>
              </c:tx>
              <c:spPr>
                <a:noFill/>
                <a:ln cmpd="sng">
                  <a:solidFill>
                    <a:srgbClr val="808080">
                      <a:alpha val="0"/>
                    </a:srgbClr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738124934383201"/>
                      <c:h val="9.580722891566265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834B-4230-9B3E-E6AD8620D831}"/>
                </c:ext>
              </c:extLst>
            </c:dLbl>
            <c:dLbl>
              <c:idx val="1"/>
              <c:layout>
                <c:manualLayout>
                  <c:x val="-6.1823999999999997E-2"/>
                  <c:y val="-7.3652721120703582E-3"/>
                </c:manualLayout>
              </c:layout>
              <c:tx>
                <c:rich>
                  <a:bodyPr/>
                  <a:lstStyle/>
                  <a:p>
                    <a:fld id="{0AE0C609-2410-4C78-A56A-3A59BC06B0EC}" type="VALUE">
                      <a:rPr lang="ru-RU"/>
                      <a:pPr/>
                      <a:t>[ЗНАЧЕНИЕ]</a:t>
                    </a:fld>
                    <a:r>
                      <a:rPr lang="ru-RU"/>
                      <a:t> млн</a:t>
                    </a:r>
                    <a:r>
                      <a:rPr lang="ru-RU" baseline="0"/>
                      <a:t> </a:t>
                    </a:r>
                    <a:r>
                      <a:rPr lang="ru-RU"/>
                      <a:t>руб</a:t>
                    </a:r>
                    <a:r>
                      <a:rPr lang="ru-RU" baseline="0"/>
                      <a:t>; </a:t>
                    </a:r>
                    <a:fld id="{8CD33FB5-D885-4F94-86C7-DCEA3DD4F582}" type="PERCENTAGE">
                      <a:rPr lang="ru-RU" baseline="0"/>
                      <a:pPr/>
                      <a:t>[ПРОЦЕНТ]</a:t>
                    </a:fld>
                    <a:endParaRPr lang="ru-RU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834B-4230-9B3E-E6AD8620D831}"/>
                </c:ext>
              </c:extLst>
            </c:dLbl>
            <c:dLbl>
              <c:idx val="2"/>
              <c:layout>
                <c:manualLayout>
                  <c:x val="0.13648556430446193"/>
                  <c:y val="-7.1059346748323128E-3"/>
                </c:manualLayout>
              </c:layout>
              <c:tx>
                <c:rich>
                  <a:bodyPr/>
                  <a:lstStyle/>
                  <a:p>
                    <a:fld id="{443F71B8-A154-4B99-9D7F-6147A1DDFF99}" type="VALUE">
                      <a:rPr lang="ru-RU"/>
                      <a:pPr/>
                      <a:t>[ЗНАЧЕНИЕ]</a:t>
                    </a:fld>
                    <a:r>
                      <a:rPr lang="ru-RU"/>
                      <a:t> млн</a:t>
                    </a:r>
                    <a:r>
                      <a:rPr lang="ru-RU" baseline="0"/>
                      <a:t> </a:t>
                    </a:r>
                    <a:r>
                      <a:rPr lang="ru-RU"/>
                      <a:t>руб.</a:t>
                    </a:r>
                    <a:r>
                      <a:rPr lang="ru-RU" baseline="0"/>
                      <a:t>; </a:t>
                    </a:r>
                    <a:fld id="{8644A44D-CBC0-4E99-97F0-B29B8A9CDD8F}" type="PERCENTAGE">
                      <a:rPr lang="ru-RU" baseline="0"/>
                      <a:pPr/>
                      <a:t>[ПРОЦЕНТ]</a:t>
                    </a:fld>
                    <a:endParaRPr lang="ru-RU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834B-4230-9B3E-E6AD8620D831}"/>
                </c:ext>
              </c:extLst>
            </c:dLbl>
            <c:spPr>
              <a:noFill/>
              <a:ln cmpd="sng">
                <a:solidFill>
                  <a:srgbClr val="808080">
                    <a:alpha val="0"/>
                  </a:srgbClr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Лист1!$A$10:$A$12</c:f>
              <c:strCache>
                <c:ptCount val="3"/>
                <c:pt idx="0">
                  <c:v>услуги по передаче электроэнергии по сетям</c:v>
                </c:pt>
                <c:pt idx="1">
                  <c:v>услуги по технологическому присоединению</c:v>
                </c:pt>
                <c:pt idx="2">
                  <c:v>прочая продукция (услуги)</c:v>
                </c:pt>
              </c:strCache>
            </c:strRef>
          </c:cat>
          <c:val>
            <c:numRef>
              <c:f>Лист1!$C$10:$C$12</c:f>
              <c:numCache>
                <c:formatCode>#,##0</c:formatCode>
                <c:ptCount val="3"/>
                <c:pt idx="0">
                  <c:v>1291.610598126</c:v>
                </c:pt>
                <c:pt idx="1">
                  <c:v>84.699272660000005</c:v>
                </c:pt>
                <c:pt idx="2">
                  <c:v>36.301692439999997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34B-4230-9B3E-E6AD8620D831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834B-4230-9B3E-E6AD8620D83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A-834B-4230-9B3E-E6AD8620D83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C-834B-4230-9B3E-E6AD8620D831}"/>
              </c:ext>
            </c:extLst>
          </c:dPt>
          <c:cat>
            <c:strRef>
              <c:f>Лист1!$A$10:$A$12</c:f>
              <c:strCache>
                <c:ptCount val="3"/>
                <c:pt idx="0">
                  <c:v>услуги по передаче электроэнергии по сетям</c:v>
                </c:pt>
                <c:pt idx="1">
                  <c:v>услуги по технологическому присоединению</c:v>
                </c:pt>
                <c:pt idx="2">
                  <c:v>прочая продукция (услуги)</c:v>
                </c:pt>
              </c:strCache>
            </c:strRef>
          </c:cat>
          <c:val>
            <c:numRef>
              <c:f>Лист1!$D$10:$D$12</c:f>
              <c:numCache>
                <c:formatCode>0.00%</c:formatCode>
                <c:ptCount val="3"/>
                <c:pt idx="0">
                  <c:v>0.91434236541029845</c:v>
                </c:pt>
                <c:pt idx="1">
                  <c:v>5.9959351080612101E-2</c:v>
                </c:pt>
                <c:pt idx="2">
                  <c:v>2.5698283509089603E-2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834B-4230-9B3E-E6AD8620D8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9778601204261235"/>
          <c:y val="0.22552294216235017"/>
          <c:w val="0.20099641037517366"/>
          <c:h val="0.7657052145590235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Машнова С.</dc:creator>
  <cp:keywords/>
  <dc:description/>
  <cp:lastModifiedBy>Равчеева Инесса Александровна</cp:lastModifiedBy>
  <cp:revision>62</cp:revision>
  <cp:lastPrinted>2023-07-27T08:59:00Z</cp:lastPrinted>
  <dcterms:created xsi:type="dcterms:W3CDTF">2020-02-05T09:02:00Z</dcterms:created>
  <dcterms:modified xsi:type="dcterms:W3CDTF">2026-08-13T10:26:00Z</dcterms:modified>
</cp:coreProperties>
</file>